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2B504" w14:textId="2EF2E206" w:rsidR="008F2549" w:rsidRDefault="008F2549">
      <w:hyperlink r:id="rId4" w:history="1">
        <w:r w:rsidRPr="002E4CC4">
          <w:rPr>
            <w:rStyle w:val="Hyperlink"/>
          </w:rPr>
          <w:t>https://www.emedevents.com/online-cme-courses/others/bone-research-society-brs-training-course-osteoporosis-and-other-metabolic-bone-diseases-2021</w:t>
        </w:r>
      </w:hyperlink>
    </w:p>
    <w:p w14:paraId="5984221C" w14:textId="77777777" w:rsidR="008F2549" w:rsidRDefault="008F2549"/>
    <w:sectPr w:rsidR="008F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49"/>
    <w:rsid w:val="008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9094"/>
  <w15:chartTrackingRefBased/>
  <w15:docId w15:val="{A8D281BE-FC83-44BD-BDAA-F200253A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F25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2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edevents.com/online-cme-courses/others/bone-research-society-brs-training-course-osteoporosis-and-other-metabolic-bone-diseases-202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2021-03-24T08:10:00Z</dcterms:created>
  <dcterms:modified xsi:type="dcterms:W3CDTF">2021-03-24T08:11:00Z</dcterms:modified>
</cp:coreProperties>
</file>